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4"/>
          <w:szCs w:val="24"/>
          <w:u w:val="none"/>
          <w:shd w:fill="auto" w:val="clear"/>
          <w:vertAlign w:val="baseline"/>
          <w:rtl w:val="0"/>
        </w:rPr>
        <w:t xml:space="preserve">FORMULARUL ZONELOR PRIORITARE PENTRU BIODIVERSITATE</w:t>
      </w:r>
      <w:r>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r>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RONPA0328ZPB</w:t>
      </w:r>
      <w:r>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Pr>
          <w:rFonts w:ascii="Arial" w:cs="Arial" w:eastAsia="Arial" w:hAnsi="Arial"/>
          <w:b w:val="0"/>
          <w:bCs w:val="0"/>
          <w:i w:val="1"/>
          <w:iCs w:val="1"/>
          <w:smallCaps w:val="0"/>
          <w:strike w:val="0"/>
          <w:color w:val="000000"/>
          <w:sz w:val="20"/>
          <w:szCs w:val="20"/>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Ogașul Slătinic</w:t>
      </w:r>
      <w:r>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 </w:t>
      </w:r>
      <w:r>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8264525"/>
          <w:tag w:val="goog_rdk_0"/>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r>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531219792"/>
          <w:tag w:val="goog_rdk_1"/>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OECM (Other effective area-based conservation measures)</w:t>
      </w:r>
      <w:r>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728807960"/>
          <w:tag w:val="goog_rdk_2"/>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r>
        <w:rPr>
          <w:rtl w:val="0"/>
        </w:rPr>
      </w:r>
    </w:p>
    <w:tbl>
      <w:tblPr>
        <w:tblStyle w:val="Table1"/>
        <w:tblW w:w="8980.0" w:type="dxa"/>
        <w:jc w:val="left"/>
        <w:tblInd w:w="-98.0" w:type="dxa"/>
        <w:tblLayout w:type="fixed"/>
        <w:tblLook w:val="0400"/>
      </w:tblPr>
      <w:tblGrid>
        <w:gridCol w:w="4491"/>
        <w:gridCol w:w="4489"/>
      </w:tblGrid>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r>
              <w:rPr>
                <w:rtl w:val="0"/>
              </w:rPr>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r>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bl>
            <w:tblPr>
              <w:tblStyle w:val="Table2"/>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r>
          </w:tb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bl>
            <w:tblPr>
              <w:tblStyle w:val="Table3"/>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r>
    </w:tb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w:t>
      </w:r>
      <w:r>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r>
        <w:rPr>
          <w:rtl w:val="0"/>
        </w:rPr>
      </w:r>
    </w:p>
    <w:tbl>
      <w:tblPr>
        <w:tblStyle w:val="Table4"/>
        <w:tblW w:w="8980.0" w:type="dxa"/>
        <w:jc w:val="left"/>
        <w:tblInd w:w="-98.0" w:type="dxa"/>
        <w:tblLayout w:type="fixed"/>
        <w:tblLook w:val="0400"/>
      </w:tblPr>
      <w:tblGrid>
        <w:gridCol w:w="4454"/>
        <w:gridCol w:w="4526"/>
      </w:tblGrid>
      <w:tr>
        <w:trPr>
          <w:cantSplit w:val="0"/>
          <w:tblHeader w:val="0"/>
        </w:trPr>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r>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bl>
            <w:tblPr>
              <w:tblStyle w:val="Table5"/>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r>
          </w:tbl>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r>
    </w:tb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r>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r>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r>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21,47</w:t>
      </w:r>
      <w:r>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protejate/OECM</w:t>
      </w:r>
      <w:r>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97,82%</w:t>
      </w:r>
      <w:r>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r>
        <w:rPr>
          <w:rtl w:val="0"/>
        </w:rPr>
      </w:r>
    </w:p>
    <w:tbl>
      <w:tblPr>
        <w:tblStyle w:val="Table6"/>
        <w:tblW w:w="8980.0" w:type="dxa"/>
        <w:jc w:val="left"/>
        <w:tblInd w:w="-98.0" w:type="dxa"/>
        <w:tblLayout w:type="fixed"/>
        <w:tblLook w:val="0400"/>
      </w:tblPr>
      <w:tblGrid>
        <w:gridCol w:w="3157"/>
        <w:gridCol w:w="443"/>
        <w:gridCol w:w="5380"/>
      </w:tblGrid>
      <w:tr>
        <w:trPr>
          <w:cantSplit w:val="0"/>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r>
              <w:rPr>
                <w:rtl w:val="0"/>
              </w:rPr>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RO42</w:t>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Vest</w:t>
            </w:r>
          </w:p>
        </w:tc>
      </w:tr>
    </w:tbl>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r>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Caraș-Severin</w:t>
      </w:r>
      <w:r>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r>
        <w:rPr>
          <w:rtl w:val="0"/>
        </w:rPr>
      </w:r>
    </w:p>
    <w:tbl>
      <w:tblPr>
        <w:tblStyle w:val="Table7"/>
        <w:tblW w:w="8980.000000000002" w:type="dxa"/>
        <w:jc w:val="left"/>
        <w:tblInd w:w="-98.0" w:type="dxa"/>
        <w:tblLayout w:type="fixed"/>
        <w:tblLook w:val="0400"/>
      </w:tblPr>
      <w:tblGrid>
        <w:gridCol w:w="2805"/>
        <w:gridCol w:w="236"/>
        <w:gridCol w:w="2873"/>
        <w:gridCol w:w="236"/>
        <w:gridCol w:w="2830"/>
      </w:tblGrid>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w:t>
            </w:r>
            <w:r>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100%</w:t>
            </w:r>
            <w:r>
              <w:rPr>
                <w:rtl w:val="0"/>
              </w:rPr>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984032932"/>
                <w:tag w:val="goog_rdk_3"/>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r>
              <w:rPr>
                <w:rtl w:val="0"/>
              </w:rPr>
            </w:r>
          </w:p>
        </w:tc>
      </w:tr>
      <w:tr>
        <w:trPr>
          <w:cantSplit w:val="0"/>
          <w:tblHeader w:val="0"/>
        </w:trPr>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73375619"/>
                <w:tag w:val="goog_rdk_4"/>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r>
              <w:rPr>
                <w:rtl w:val="0"/>
              </w:rPr>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409842572"/>
                <w:tag w:val="goog_rdk_5"/>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r>
              <w:rPr>
                <w:rtl w:val="0"/>
              </w:rPr>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105429729"/>
                <w:tag w:val="goog_rdk_6"/>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r>
              <w:rPr>
                <w:rtl w:val="0"/>
              </w:rPr>
            </w:r>
          </w:p>
        </w:tc>
      </w:tr>
    </w:tbl>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r>
      <w:r>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Pr>
          <w:rFonts w:ascii="Arial" w:cs="Arial" w:eastAsia="Arial" w:hAnsi="Arial"/>
          <w:b w:val="1"/>
          <w:bCs w:val="1"/>
          <w:i w:val="0"/>
          <w:iCs w:val="0"/>
          <w:smallCaps w:val="0"/>
          <w:strike w:val="0"/>
          <w:color w:val="000000"/>
          <w:sz w:val="22"/>
          <w:szCs w:val="22"/>
          <w:u w:val="none"/>
          <w:shd w:fill="auto" w:val="clear"/>
          <w:vertAlign w:val="baseline"/>
          <w:rtl w:val="0"/>
        </w:rPr>
        <w:t xml:space="preserve"> pe teritoriul ariei naturale protejate/OECM</w:t>
      </w:r>
      <w:r>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protejate/OECM:</w:t>
      </w:r>
      <w:r>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r>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r>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r>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r>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r>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21,47</w:t>
      </w:r>
      <w:r>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r>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rezervația naturală RONPA0328 Ogașul Slătinic.</w:t>
      </w:r>
    </w:p>
    <w:p w:rsidR="00000000" w:rsidDel="00000000" w:rsidP="00000000" w:rsidRDefault="00000000" w:rsidRPr="00000000" w14:paraId="00000067">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sdt>
        <w:sdtPr>
          <w:id w:val="1029371780"/>
          <w:tag w:val="goog_rdk_7"/>
        </w:sdtPr>
        <w:sdtContent/>
      </w:sdt>
      <w:r>
        <w:rPr>
          <w:rtl w:val="0"/>
        </w:rPr>
      </w:r>
    </w:p>
    <w:p w:rsidR="00000000" w:rsidDel="00000000" w:rsidP="00000000" w:rsidRDefault="00000000" w:rsidRPr="00000000" w14:paraId="10662026">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sdt>
        <w:sdtPr>
          <w:id w:val="1029371780"/>
          <w:tag w:val="goog_rdk_7"/>
        </w:sdtPr>
        <w:sdtContent/>
      </w:sdt>
      <w:r>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r>
        <w:rPr>
          <w:rtl w:val="0"/>
        </w:rPr>
      </w:r>
    </w:p>
    <w:tbl>
      <w:tblPr>
        <w:tblStyle w:val="Table8"/>
        <w:tblW w:w="8964.0" w:type="dxa"/>
        <w:jc w:val="left"/>
        <w:tblInd w:w="-97.00000000000001" w:type="dxa"/>
        <w:tblLayout w:type="fixed"/>
        <w:tblLook w:val="0000"/>
      </w:tblPr>
      <w:tblGrid>
        <w:gridCol w:w="2365"/>
        <w:gridCol w:w="6599"/>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91E0* Păduri aluviale de Alnus glutinosa şi Fraxinus excelsior (Alno-Padion, Alnion incanae, Salicion albae)</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Ecosisteme de pajiște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1213 Rana temporaria</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Reptile:</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1256 Podarcis muralis</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1261 Lacerta agilis</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Chiroptere:</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1309 Pipistrellus pipistrellus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1310 Miniopterus schreibersii</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1312 Nyctalus noctula</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1327 Eptesicus serotinus</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1331 Nyctalus leisleri</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1332 Vespertilio murinus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Zona include ecosisteme de luncă cu valoare conservativă ridicată, caracterizate prin prezența habitatelor ripariene și a pajiștilor asociate, care contribuie la menținerea conectivității ecologice și a proceselor naturale specifice zonelor umede. Interacțiunea dintre habitatele forestiere și cele deschise generează o diversitate ridicată de microhabitate și condiții favorabile pentru numeroase specii de interes conservativ.</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 a zonei este susținută de rolul ecosistemelor ripariene și al pajiștilor în menținerea biodiversității, precum și de existența unor condiții favorabile pentru specii de amfibieni, reptile și chiroptere asociate habitatelor umede, lizierei forestiere și arboretelor mature. Totodată, suprapunerea cu o rezervație naturală evidențiază importanța zonei pentru conservarea patrimoniului natural și a funcțiilor ecologice specifice ecosistemelor de luncă.</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Desemnarea ca ZPB se fundamentează pe criteriul stabilit de metodologie pentru rezervațiile naturale, precum și pe prezența habitatelor și speciilor de interes conservativ asociate ecosistemelor ripariene și de pajiște.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Obiective și măsuri pentru habitatele de pajiști seminaturale din ZPB – regim de management activ</w:t>
            </w:r>
            <w:r>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     Obiectiv general de conservare</w:t>
            </w:r>
            <w:r>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r>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Obiective specifice:</w:t>
            </w:r>
            <w:r>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O1. Menținerea suprafețelor de pajiști și prevenirea abandonului sau conversiei către alte categorii de folosință.</w:t>
            </w:r>
            <w:r>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O2. Menținerea unei structuri mozaicate favorabile biodiversității.</w:t>
            </w:r>
            <w:r>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O3. Evitarea degradării habitatelor prin suprapășunat, subpășunat, compactarea solului și eroziune.</w:t>
            </w:r>
            <w:r>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O4. Limitarea utilizării substanțelor chimice și prevenirea eutrofizării habitatelor.</w:t>
            </w:r>
            <w:r>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O5. Controlul speciilor invazive și limitarea instalării vegetației lemnoase.</w:t>
            </w:r>
            <w:r>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O6. Monitorizarea utilizării habitatelor și adaptarea managementului în funcție de rezultate.</w:t>
            </w:r>
            <w:r>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Măsuri de conservare:</w:t>
            </w:r>
            <w:r>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r>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r>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3. În zonele montane și premontane, prima cosire se realizează numai după formarea semințelor la speciile de interes conservativ.</w:t>
            </w:r>
            <w:r>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4. Cosirea se realizează astfel încât să permită retragerea faunei, menținându-se anual suprafețe-refugiu necosite temporar.</w:t>
            </w:r>
            <w:r>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5. În zonele sensibile lucrările de cosit se realizează cu metode prin care se evită compactarea solului și degradarea microreliefului.</w:t>
            </w:r>
            <w:r>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r>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r>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8. Pășunatul se întrerupe astfel încât vegetația să dispună de timp suficient pentru refacerea masei vegetative și acumularea rezervelor înaintea sezonului rece.</w:t>
            </w:r>
            <w:r>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9. Se evită atât suprapășunatul, cât și subpășunatul, precum și concentrarea excesivă a animalelor în zone sensibile ale habitatului.</w:t>
            </w:r>
            <w:r>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10. Utilizarea fertilizanților chimici și a pesticidelor se realizează în conformitate cu legislația națională în domeniu. Aratul și supraînsămânțarea cu specii alohtone sunt interzise.</w:t>
            </w:r>
            <w:r>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11. Este recomandată fertilizarea organică tradițională, în cantități moderate și compatibile cu menținerea diversității floristice și a structurii habitatului.</w:t>
            </w:r>
            <w:r>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12. Târlitul se realizează controlat și cu schimbarea periodică a amplasamentelor, evitându-se apariția suprafețelor nitrofile și degradarea habitatului.</w:t>
            </w:r>
            <w:r>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13. Vegetația lemnoasă invadantă se îndepărtează selectiv și periodic, menținându-se elementele cu rol ecologic, antierozional sau de refugiu pentru specii.</w:t>
            </w:r>
            <w:r>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14. Speciile invazive se monitorizează și se controlează prin metode mecanice și măsuri cu impact redus asupra habitatelor naturale.</w:t>
            </w:r>
            <w:r>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15. În zonele afectate de degradări locale ale microreliefului se pot aplica măsuri cu impact redus pentru corectarea acestora și refacerea covorului vegetal cu specii caracteristice habitatului.</w:t>
            </w:r>
            <w:r>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16. Se mențin structurile de habitat favorabile biodiversității, inclusiv tufărișurile dispersate, arborii izolați, gardurile vii și zonele de ecoton.</w:t>
            </w:r>
            <w:r>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17. Activitățile turistice și recreative se desfășoară fără afectarea habitatelor și a speciilor de interes conservativ.</w:t>
            </w:r>
            <w:r>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18.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ripariene și de luncă</w:t>
            </w:r>
            <w:r>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pădurilor ripariene prin protejarea regimului hidrologic natural, controlul speciilor invazive caracteristice luncilor și menținerea conectivității ecologice cu cursurile de apă, fără intervenții cu caracter productiv.</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regimului hidrologic natural al luncilor și a inundațiilor periodice ca proces ecologic determinant pentru habitatele ripariene.</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Conservarea structurii și compoziției caracteristice habitatelor de zăvoaie și păduri aluviale, cu specii native ripariene.</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Controlul speciilor invazive caracteristice luncilor (Amorpha fruticosa, Robinia pseudoacacia, Acer negundo, Fraxinus pennsylvanica, Ailanthus altissima și altele).</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conectivității longitudinale (lungul cursului) și laterale (luncă-râu) a habitatelor ripariene.</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presiunilor antropice asupra zonelor ripariene (defrișări, regularizări, exploatare de materiale).</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Nu se execută tratamente cu caracter productiv în pădurile ripariene; intervențiile se rezumă la refacerea compoziției native și combatere a speciilor invazive.</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Compoziția-țintă urmărește menținerea sau refacerea speciilor native caracteristice habitatului (salcie, plop alb/negru, frasin, ulm, stejar de luncă, anin), excluzând introducerea speciilor alohtone.</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Se păstrează arborii bătrâni, arborii-habitat și lemnul mort (în picioare, la sol și în apă), inclusiv lemnul antrenat de viituri, ca element esențial pentru biodiversitatea ripariană.</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Se controlează activ speciile lemnoase invazive (în special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Amorpha fruticosa, Robinia pseudoacacia, Acer negundo, Fraxinus pennsylvanica, Ailanthus altissima</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prin metode mecanice repetate, fără utilizarea de erbicide care ar putea contamina apele.</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Se evită orice lucrări care modifică regimul hidrologic al luncii: nu se realizează diguri noi, regularizări de albie, drenaje, decolmatări sau lucrări care întrerup inundațiile naturale.</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Nu se efectuează exploatări de pietriș, nisip sau alte materiale din albie sau din lunca activă; depozitarea de materiale și deșeuri este interzisă.</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7. Accesul motorizat în zonele ripariene se limitează strict la intervenții autorizate; nu se deschid drumuri noi care fragmentează lunca.</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 Refacerea zonelor degradate (defrișări istorice, plantații cu specii alohtone) se realizează cu specii native ripariene, urmărind restabilirea structurii naturale a habitatului.</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 Se monitorizează periodic starea pădurilor ripariene, prezența speciilor invazive, regimul hidrologic, conectivitatea cu cursul de apă și prezența speciilor indicator (faună acvatică, semiacvatică, păsări de luncă).</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de stat</w:t>
            </w:r>
          </w:p>
        </w:tc>
      </w:tr>
    </w:tbl>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 </w:t>
      </w:r>
      <w:r>
        <w:rPr>
          <w:rtl w:val="0"/>
        </w:rPr>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27r1nh4245r" w:id="0"/>
      <w:bookmarkEnd w:id="0"/>
      <w:r>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Ed. Academiei R.S.R., Bucuresti, </w:t>
      </w:r>
    </w:p>
    <w:p w:rsidR="00000000" w:rsidDel="00000000" w:rsidP="00000000" w:rsidRDefault="00000000" w:rsidRPr="00000000" w14:paraId="000000B8">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B9">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Bucuresti, </w:t>
      </w:r>
    </w:p>
    <w:p w:rsidR="00000000" w:rsidDel="00000000" w:rsidP="00000000" w:rsidRDefault="00000000" w:rsidRPr="00000000" w14:paraId="000000BA">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BB">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w:t>
      </w:r>
    </w:p>
    <w:p w:rsidR="00000000" w:rsidDel="00000000" w:rsidP="00000000" w:rsidRDefault="00000000" w:rsidRPr="00000000" w14:paraId="000000BC">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lb5z25b5qtf" w:id="1"/>
      <w:bookmarkEnd w:id="1"/>
      <w:r>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w:t>
      </w:r>
      <w:r>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Pr>
          <w:rFonts w:ascii="Arial" w:cs="Arial" w:eastAsia="Arial" w:hAnsi="Arial"/>
          <w:b w:val="1"/>
          <w:bCs w:val="1"/>
          <w:i w:val="0"/>
          <w:iCs w:val="0"/>
          <w:smallCaps w:val="0"/>
          <w:strike w:val="0"/>
          <w:color w:val="000000"/>
          <w:sz w:val="22"/>
          <w:szCs w:val="22"/>
          <w:u w:val="none"/>
          <w:shd w:fill="auto" w:val="clear"/>
          <w:vertAlign w:val="baseline"/>
          <w:rtl w:val="0"/>
        </w:rPr>
        <w:t xml:space="preserve"> Zonelor Prioritare pentru Biodiversitate</w:t>
      </w:r>
      <w:r>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Detalii privind consultările publice realizate:</w:t>
      </w:r>
      <w:r>
        <w:rPr>
          <w:rtl w:val="0"/>
        </w:rPr>
      </w:r>
    </w:p>
    <w:p w:rsidR="00000000" w:rsidDel="00000000" w:rsidP="00000000" w:rsidRDefault="00000000" w:rsidRPr="00000000" w14:paraId="000000C0">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8sl9lhfcavpa" w:id="2"/>
      <w:bookmarkEnd w:id="2"/>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16 septembrie 2024 – Reșița, jud. Caraș-Severin </w:t>
        <w:br w:type="textWrapping"/>
        <w:t xml:space="preserve">12 iunie 2025 – DS Caraș Severin</w:t>
      </w:r>
    </w:p>
    <w:p w:rsidR="00000000" w:rsidDel="00000000" w:rsidP="00000000" w:rsidRDefault="00000000" w:rsidRPr="00000000" w14:paraId="000000C1">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15 decembrie 2025, cu participarea reprezentanților unităților administrativ-teritoriale, ai prefecturilor și/sau ai altor instituții relevante, după caz.</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r>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rm5xyme0al6x" w:id="3"/>
      <w:bookmarkEnd w:id="3"/>
      <w:r>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 pe website-ul MMAP, accesând link-ul: </w:t>
      </w:r>
      <w:hyperlink r:id="rId9">
        <w:r>
          <w:rPr>
            <w:rFonts w:ascii="Arial" w:cs="Arial" w:eastAsia="Arial" w:hAnsi="Arial"/>
            <w:b w:val="0"/>
            <w:bCs w:val="0"/>
            <w:i w:val="0"/>
            <w:iCs w:val="0"/>
            <w:smallCaps w:val="0"/>
            <w:strike w:val="0"/>
            <w:color w:val="0563c1"/>
            <w:sz w:val="22"/>
            <w:szCs w:val="22"/>
            <w:u w:val="single"/>
            <w:shd w:fill="auto" w:val="clear"/>
            <w:vertAlign w:val="baseline"/>
            <w:rtl w:val="0"/>
          </w:rPr>
          <w:t xml:space="preserve">https://mmediu.ro/domenii/mediu/arii-naturale-protejate/ZPB-pnrr-i3-2/rezultatele-proiectului/</w:t>
        </w:r>
      </w:hyperlink>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0"/>
      <w:bCs w:val="0"/>
      <w:i w:val="0"/>
      <w:iCs w:val="0"/>
      <w:smallCaps w:val="0"/>
      <w:strike w:val="0"/>
      <w:color w:val="2f5496"/>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Calibri" w:cs="Calibri" w:eastAsia="Calibri" w:hAnsi="Calibri"/>
      <w:b w:val="0"/>
      <w:bCs w:val="0"/>
      <w:i w:val="0"/>
      <w:iCs w:val="0"/>
      <w:smallCaps w:val="0"/>
      <w:strike w:val="0"/>
      <w:color w:val="2f5496"/>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Arial" w:cs="Arial" w:eastAsia="Arial" w:hAnsi="Arial"/>
      <w:b w:val="0"/>
      <w:bCs w:val="0"/>
      <w:i w:val="0"/>
      <w:iCs w:val="0"/>
      <w:smallCaps w:val="0"/>
      <w:strike w:val="0"/>
      <w:color w:val="2f5496"/>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Arial" w:cs="Arial" w:eastAsia="Arial" w:hAnsi="Arial"/>
      <w:b w:val="0"/>
      <w:bCs w:val="0"/>
      <w:i w:val="1"/>
      <w:iCs w:val="1"/>
      <w:smallCaps w:val="0"/>
      <w:strike w:val="0"/>
      <w:color w:val="2f5496"/>
      <w:sz w:val="20"/>
      <w:szCs w:val="20"/>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Arial" w:cs="Arial" w:eastAsia="Arial" w:hAnsi="Arial"/>
      <w:b w:val="0"/>
      <w:bCs w:val="0"/>
      <w:i w:val="0"/>
      <w:iCs w:val="0"/>
      <w:smallCaps w:val="0"/>
      <w:strike w:val="0"/>
      <w:color w:val="2f5496"/>
      <w:sz w:val="20"/>
      <w:szCs w:val="20"/>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Arial" w:cs="Arial" w:eastAsia="Arial" w:hAnsi="Arial"/>
      <w:b w:val="0"/>
      <w:bCs w:val="0"/>
      <w:i w:val="1"/>
      <w:iCs w:val="1"/>
      <w:smallCaps w:val="0"/>
      <w:strike w:val="0"/>
      <w:color w:val="595959"/>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pPr>
    <w:rPr>
      <w:rFonts w:ascii="Calibri" w:cs="Calibri" w:eastAsia="Calibri" w:hAnsi="Calibri"/>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pPr>
    <w:rPr>
      <w:rFonts w:ascii="Arial" w:cs="Arial" w:eastAsia="Arial" w:hAnsi="Arial"/>
      <w:b w:val="0"/>
      <w:bCs w:val="0"/>
      <w:i w:val="0"/>
      <w:iCs w:val="0"/>
      <w:smallCaps w:val="0"/>
      <w:strike w:val="0"/>
      <w:color w:val="595959"/>
      <w:sz w:val="28"/>
      <w:szCs w:val="2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s-pnrr-i3-2/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QBSorkqrOgJXIQ2qSjYnlcFEm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